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r w:rsidR="00937C41">
              <w:t xml:space="preserve">Lesson </w:t>
            </w:r>
            <w:r w:rsidR="0056073A">
              <w:t>7</w:t>
            </w:r>
          </w:p>
          <w:p w:rsidR="00CE39CB" w:rsidRPr="00937C41" w:rsidRDefault="005B7A6B" w:rsidP="0084189B">
            <w:pPr>
              <w:rPr>
                <w:rStyle w:val="VersionNo"/>
                <w:sz w:val="40"/>
                <w:szCs w:val="40"/>
              </w:rPr>
            </w:pPr>
            <w:r>
              <w:rPr>
                <w:rStyle w:val="Subheading"/>
                <w:sz w:val="40"/>
                <w:szCs w:val="40"/>
              </w:rPr>
              <w:t xml:space="preserve">How to </w:t>
            </w:r>
            <w:r w:rsidR="0084189B">
              <w:rPr>
                <w:rStyle w:val="Subheading"/>
                <w:sz w:val="40"/>
                <w:szCs w:val="40"/>
              </w:rPr>
              <w:t>b</w:t>
            </w:r>
            <w:r>
              <w:rPr>
                <w:rStyle w:val="Subheading"/>
                <w:sz w:val="40"/>
                <w:szCs w:val="40"/>
              </w:rPr>
              <w:t xml:space="preserve">uy and </w:t>
            </w:r>
            <w:r w:rsidR="0084189B">
              <w:rPr>
                <w:rStyle w:val="Subheading"/>
                <w:sz w:val="40"/>
                <w:szCs w:val="40"/>
              </w:rPr>
              <w:t>s</w:t>
            </w:r>
            <w:r>
              <w:rPr>
                <w:rStyle w:val="Subheading"/>
                <w:sz w:val="40"/>
                <w:szCs w:val="40"/>
              </w:rPr>
              <w:t xml:space="preserve">ell </w:t>
            </w:r>
            <w:r w:rsidR="0084189B">
              <w:rPr>
                <w:rStyle w:val="Subheading"/>
                <w:sz w:val="40"/>
                <w:szCs w:val="40"/>
              </w:rPr>
              <w:t>s</w:t>
            </w:r>
            <w:r>
              <w:rPr>
                <w:rStyle w:val="Subheading"/>
                <w:sz w:val="40"/>
                <w:szCs w:val="40"/>
              </w:rPr>
              <w:t>hares</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340349" w:rsidRPr="000237A5" w:rsidRDefault="00340349" w:rsidP="00340349">
      <w:pPr>
        <w:rPr>
          <w:sz w:val="16"/>
          <w:szCs w:val="16"/>
        </w:rPr>
      </w:pPr>
    </w:p>
    <w:p w:rsidR="005B7A6B" w:rsidRPr="00B139C2" w:rsidRDefault="005B7A6B" w:rsidP="00B139C2">
      <w:pPr>
        <w:pStyle w:val="Bodycopy"/>
      </w:pPr>
      <w:r w:rsidRPr="00B139C2">
        <w:t xml:space="preserve">The ASX is a marketplace where buyers and sellers come together for the purpose of exchange. It is much like a shopping centre with lots of retailers or an online marketplace such as eBay or Amazon. </w:t>
      </w:r>
    </w:p>
    <w:p w:rsidR="005B7A6B" w:rsidRPr="00B139C2" w:rsidRDefault="005B7A6B" w:rsidP="00B139C2">
      <w:pPr>
        <w:pStyle w:val="Bodycopy"/>
      </w:pPr>
      <w:r w:rsidRPr="00B139C2">
        <w:t xml:space="preserve">ASX is a marketplace that brings together companies that need additional funds (equity) with investors who are seeking to buy a share of a company to grow their wealth. There are however a few differences in their operations compared to a traditional marketplace: </w:t>
      </w:r>
    </w:p>
    <w:p w:rsidR="005B7A6B" w:rsidRPr="005B7A6B" w:rsidRDefault="005B7A6B" w:rsidP="005B7A6B">
      <w:pPr>
        <w:pStyle w:val="ListBullet"/>
      </w:pPr>
      <w:r w:rsidRPr="005B7A6B">
        <w:t xml:space="preserve">The Australian Sharemarket, although headquartered in Sydney, NSW, does not have a physical location such as a trading floor anymore. Trading occurs via a computerised trading system linking stockbroking firms around the country. </w:t>
      </w:r>
    </w:p>
    <w:p w:rsidR="005B7A6B" w:rsidRPr="005B7A6B" w:rsidRDefault="005B7A6B" w:rsidP="005B7A6B">
      <w:pPr>
        <w:pStyle w:val="ListBullet"/>
      </w:pPr>
      <w:r w:rsidRPr="005B7A6B">
        <w:t xml:space="preserve">The operating hours for trades are from 10am to 4pm, Monday to Friday, excluding public holidays. </w:t>
      </w:r>
    </w:p>
    <w:p w:rsidR="005B7A6B" w:rsidRPr="005B7A6B" w:rsidRDefault="005B7A6B" w:rsidP="005B7A6B">
      <w:pPr>
        <w:pStyle w:val="ListBullet"/>
      </w:pPr>
      <w:r w:rsidRPr="005B7A6B">
        <w:t xml:space="preserve">An agent, called a stockbroker, buys or sells shares on behalf of a company or individual. There are numerous stockbroking firms authorised to buy and sell shares on the ASX. Some of these firms are called full- service brokers, providing advice and transactions. Other firms are non-advisory, allowing investors to buy and sell shares only after giving instructions to their broker. Further information on stockbrokers and their offerings can be found at </w:t>
      </w:r>
      <w:hyperlink r:id="rId9" w:history="1">
        <w:r w:rsidRPr="005B7A6B">
          <w:rPr>
            <w:rStyle w:val="Hyperlink"/>
          </w:rPr>
          <w:t>https://www2.asx.com.au/investors/start-investing/find-a-broker-adviser</w:t>
        </w:r>
      </w:hyperlink>
      <w:r w:rsidRPr="005B7A6B">
        <w:t xml:space="preserve"> .</w:t>
      </w:r>
    </w:p>
    <w:p w:rsidR="005B7A6B" w:rsidRPr="005B7A6B" w:rsidRDefault="005B7A6B" w:rsidP="005B7A6B">
      <w:pPr>
        <w:pStyle w:val="ListBullet"/>
      </w:pPr>
      <w:r w:rsidRPr="005B7A6B">
        <w:t xml:space="preserve">Setting up an account with a broker requires completion of paperwork providing instructions and identification details. The broker will require a minimum amount of money to be placed into an account to enable the buying of shares. </w:t>
      </w:r>
    </w:p>
    <w:p w:rsidR="005B7A6B" w:rsidRPr="005B7A6B" w:rsidRDefault="005B7A6B" w:rsidP="005B7A6B">
      <w:pPr>
        <w:pStyle w:val="ListBullet"/>
      </w:pPr>
      <w:r w:rsidRPr="005B7A6B">
        <w:t>Brokerage is the fee charged by the stockbroking firm for buying and selling shares. This could be a set fee or may be a percentage depending on the level of service provided and the amount invested. This amount can start from as little as $1</w:t>
      </w:r>
      <w:r w:rsidR="00E1487D">
        <w:t>0</w:t>
      </w:r>
      <w:r w:rsidRPr="005B7A6B">
        <w:t xml:space="preserve"> per trade. </w:t>
      </w:r>
    </w:p>
    <w:p w:rsidR="005B7A6B" w:rsidRPr="005B7A6B" w:rsidRDefault="005B7A6B" w:rsidP="005B7A6B">
      <w:pPr>
        <w:pStyle w:val="ListBullet"/>
      </w:pPr>
      <w:r w:rsidRPr="005B7A6B">
        <w:t xml:space="preserve">When buying or selling shares an order is entered into a computerised trading system at a stockbroking firm. The trading system finds a seller in the market that is prepared to sell shares for the price a buyer is willing to purchase them for. </w:t>
      </w:r>
    </w:p>
    <w:p w:rsidR="005B7A6B" w:rsidRPr="005B7A6B" w:rsidRDefault="005B7A6B" w:rsidP="005B7A6B">
      <w:pPr>
        <w:pStyle w:val="ListBullet"/>
      </w:pPr>
      <w:r w:rsidRPr="005B7A6B">
        <w:t>A Holder Identification Number (HIN), an identifying number exclusive to each shareholder, is created by the ASX with the purchase of shares. This is shown on the CHESS statement issued to an investor and begins with the letter X followed by 10 digits. CHESS is an acronym for Clearing House Electronic Subregister System, the computer system used by the ASX to track the buying and selling of shares.</w:t>
      </w:r>
    </w:p>
    <w:p w:rsidR="005B7A6B" w:rsidRPr="005B7A6B" w:rsidRDefault="005B7A6B" w:rsidP="005B7A6B">
      <w:pPr>
        <w:pStyle w:val="ListBullet"/>
      </w:pPr>
      <w:r w:rsidRPr="005B7A6B">
        <w:t xml:space="preserve">Within </w:t>
      </w:r>
      <w:r w:rsidR="00E1487D">
        <w:t>two</w:t>
      </w:r>
      <w:r w:rsidRPr="005B7A6B">
        <w:t xml:space="preserve"> days of a broker executing an order, payment </w:t>
      </w:r>
      <w:proofErr w:type="gramStart"/>
      <w:r w:rsidRPr="005B7A6B">
        <w:t>is made</w:t>
      </w:r>
      <w:proofErr w:type="gramEnd"/>
      <w:r w:rsidRPr="005B7A6B">
        <w:t xml:space="preserve">. A seller must provide access to the shares they have sold so they can be transferred to the new owner. </w:t>
      </w:r>
    </w:p>
    <w:p w:rsidR="005B7A6B" w:rsidRPr="005B7A6B" w:rsidRDefault="005B7A6B" w:rsidP="005B7A6B">
      <w:pPr>
        <w:pStyle w:val="ListBullet"/>
      </w:pPr>
      <w:r w:rsidRPr="005B7A6B">
        <w:t xml:space="preserve">If a purchase of shares is part of a ‘float’ or ‘Initial Public Offering’, this can still be organised through a stockbroking firm. (For more details on buying shares in a float see Lesson </w:t>
      </w:r>
      <w:r w:rsidR="00E261F7" w:rsidRPr="005B7A6B">
        <w:t>2</w:t>
      </w:r>
      <w:r w:rsidRPr="005B7A6B">
        <w:t xml:space="preserve">). </w:t>
      </w:r>
    </w:p>
    <w:p w:rsidR="005B7A6B" w:rsidRPr="005B7A6B" w:rsidRDefault="005B7A6B" w:rsidP="005B7A6B">
      <w:pPr>
        <w:pStyle w:val="ListBullet"/>
      </w:pPr>
      <w:r w:rsidRPr="005B7A6B">
        <w:t xml:space="preserve">To buy and sell shares, an investor must be over 18 years of age although arrangements can be made for adults to buy shares on behalf of a minor. </w:t>
      </w:r>
    </w:p>
    <w:p w:rsidR="005B7A6B" w:rsidRDefault="005B7A6B" w:rsidP="005B7A6B">
      <w:pPr>
        <w:pStyle w:val="Heading2"/>
      </w:pPr>
      <w:r>
        <w:t xml:space="preserve">The importance of ongoing research </w:t>
      </w:r>
    </w:p>
    <w:p w:rsidR="005B7A6B" w:rsidRDefault="005B7A6B" w:rsidP="005B7A6B">
      <w:r>
        <w:t xml:space="preserve">Even if an investor has a full-service broker, they should seek to have up to date knowledge of the economic, financial, legal, and political influences affecting the market from a local, national, and international perspective. They should also research a company well before investing. It is important for an investor to seek information from diverse and credible sources.  This may include referring to the ASX website for updates on a company’s activities, and following publications such the Australian Financial Review </w:t>
      </w:r>
      <w:hyperlink r:id="rId10" w:history="1">
        <w:r w:rsidRPr="001C17BE">
          <w:rPr>
            <w:rStyle w:val="Hyperlink"/>
          </w:rPr>
          <w:t>www.afr.com</w:t>
        </w:r>
      </w:hyperlink>
      <w:r>
        <w:t xml:space="preserve">, Alan Kohler on ABC News, or a </w:t>
      </w:r>
      <w:r w:rsidR="00E261F7">
        <w:t>broker’s</w:t>
      </w:r>
      <w:r>
        <w:t xml:space="preserve"> website such as nabtrade </w:t>
      </w:r>
      <w:hyperlink r:id="rId11" w:history="1">
        <w:r w:rsidRPr="001C17BE">
          <w:rPr>
            <w:rStyle w:val="Hyperlink"/>
          </w:rPr>
          <w:t>https://nabtrade.com.au/research-and-insights</w:t>
        </w:r>
      </w:hyperlink>
      <w:r>
        <w:t xml:space="preserve">. </w:t>
      </w:r>
    </w:p>
    <w:p w:rsidR="006654FF" w:rsidRPr="006654FF" w:rsidRDefault="006654FF" w:rsidP="006654FF">
      <w:pPr>
        <w:pStyle w:val="Bodycopy"/>
      </w:pPr>
    </w:p>
    <w:p w:rsidR="00B66AF5" w:rsidRPr="00B66AF5" w:rsidRDefault="00B66AF5" w:rsidP="003A0ABE">
      <w:pPr>
        <w:pStyle w:val="Intro"/>
      </w:pPr>
      <w:r w:rsidRPr="00B66AF5">
        <w:lastRenderedPageBreak/>
        <w:t>Activity 1</w:t>
      </w:r>
    </w:p>
    <w:p w:rsidR="006654FF" w:rsidRDefault="005B7A6B" w:rsidP="005B7A6B">
      <w:r>
        <w:t>Read the following statements and decide whether they are true or false</w:t>
      </w:r>
      <w:r w:rsidR="006654FF" w:rsidRPr="006654FF">
        <w:t>.</w:t>
      </w:r>
    </w:p>
    <w:tbl>
      <w:tblPr>
        <w:tblStyle w:val="TableASX"/>
        <w:tblW w:w="9780" w:type="dxa"/>
        <w:tblCellMar>
          <w:left w:w="57" w:type="dxa"/>
        </w:tblCellMar>
        <w:tblLook w:val="04A0" w:firstRow="1" w:lastRow="0" w:firstColumn="1" w:lastColumn="0" w:noHBand="0" w:noVBand="1"/>
      </w:tblPr>
      <w:tblGrid>
        <w:gridCol w:w="8080"/>
        <w:gridCol w:w="850"/>
        <w:gridCol w:w="850"/>
      </w:tblGrid>
      <w:tr w:rsidR="0025789D" w:rsidTr="0025789D">
        <w:trPr>
          <w:cnfStyle w:val="100000000000" w:firstRow="1" w:lastRow="0" w:firstColumn="0" w:lastColumn="0" w:oddVBand="0" w:evenVBand="0" w:oddHBand="0" w:evenHBand="0" w:firstRowFirstColumn="0" w:firstRowLastColumn="0" w:lastRowFirstColumn="0" w:lastRowLastColumn="0"/>
        </w:trPr>
        <w:tc>
          <w:tcPr>
            <w:tcW w:w="8080" w:type="dxa"/>
          </w:tcPr>
          <w:p w:rsidR="0025789D" w:rsidRPr="000F7B79" w:rsidRDefault="0025789D" w:rsidP="001F5DB4">
            <w:pPr>
              <w:pStyle w:val="TableHeading"/>
            </w:pPr>
            <w:r>
              <w:t>Statement</w:t>
            </w:r>
          </w:p>
        </w:tc>
        <w:tc>
          <w:tcPr>
            <w:tcW w:w="850" w:type="dxa"/>
            <w:shd w:val="clear" w:color="auto" w:fill="F2F2F2" w:themeFill="background1" w:themeFillShade="F2"/>
          </w:tcPr>
          <w:p w:rsidR="0025789D" w:rsidRPr="00C23C63" w:rsidRDefault="0025789D" w:rsidP="001F5DB4">
            <w:pPr>
              <w:pStyle w:val="TableHeading"/>
              <w:jc w:val="center"/>
            </w:pPr>
            <w:r w:rsidRPr="0025789D">
              <w:t>True</w:t>
            </w:r>
          </w:p>
        </w:tc>
        <w:tc>
          <w:tcPr>
            <w:tcW w:w="850" w:type="dxa"/>
            <w:shd w:val="clear" w:color="auto" w:fill="D0DAE3" w:themeFill="accent4" w:themeFillTint="66"/>
          </w:tcPr>
          <w:p w:rsidR="0025789D" w:rsidRPr="00C23C63" w:rsidRDefault="0025789D" w:rsidP="001F5DB4">
            <w:pPr>
              <w:pStyle w:val="TableHeading"/>
              <w:jc w:val="center"/>
            </w:pPr>
            <w:r>
              <w:rPr>
                <w:color w:val="0C3B6C" w:themeColor="accent1"/>
              </w:rPr>
              <w:t>False</w:t>
            </w:r>
          </w:p>
        </w:tc>
      </w:tr>
      <w:tr w:rsidR="0025789D" w:rsidTr="0025789D">
        <w:trPr>
          <w:trHeight w:val="567"/>
        </w:trPr>
        <w:tc>
          <w:tcPr>
            <w:tcW w:w="8080" w:type="dxa"/>
            <w:vAlign w:val="center"/>
          </w:tcPr>
          <w:p w:rsidR="0025789D" w:rsidRPr="000F7B79" w:rsidRDefault="0025789D" w:rsidP="0025789D">
            <w:pPr>
              <w:pStyle w:val="ListNumber"/>
              <w:rPr>
                <w:rFonts w:cstheme="minorHAnsi"/>
              </w:rPr>
            </w:pPr>
            <w:r>
              <w:t>An investor must physically go to the counter at the Australian Securities Exchange (ASX) and purchase shares directly from there</w:t>
            </w:r>
            <w:r w:rsidRPr="000F7B79">
              <w:rPr>
                <w:rFonts w:cstheme="minorHAnsi"/>
                <w:color w:val="2E2E2E"/>
                <w:shd w:val="clear" w:color="auto" w:fill="FFFFFF"/>
              </w:rPr>
              <w:t>.</w:t>
            </w:r>
          </w:p>
        </w:tc>
        <w:tc>
          <w:tcPr>
            <w:tcW w:w="850" w:type="dxa"/>
            <w:shd w:val="clear" w:color="auto" w:fill="F2F2F2" w:themeFill="background1" w:themeFillShade="F2"/>
          </w:tcPr>
          <w:p w:rsidR="0025789D" w:rsidRDefault="0025789D" w:rsidP="001F5DB4">
            <w:pPr>
              <w:pStyle w:val="TableText"/>
            </w:pPr>
            <w:r>
              <w:rPr>
                <w:noProof/>
                <w:lang w:eastAsia="en-AU"/>
              </w:rPr>
              <mc:AlternateContent>
                <mc:Choice Requires="wps">
                  <w:drawing>
                    <wp:anchor distT="0" distB="0" distL="114300" distR="114300" simplePos="0" relativeHeight="251659264" behindDoc="0" locked="0" layoutInCell="1" allowOverlap="1" wp14:anchorId="34EEF599" wp14:editId="4E50D0D0">
                      <wp:simplePos x="0" y="0"/>
                      <wp:positionH relativeFrom="column">
                        <wp:posOffset>113665</wp:posOffset>
                      </wp:positionH>
                      <wp:positionV relativeFrom="paragraph">
                        <wp:posOffset>77996</wp:posOffset>
                      </wp:positionV>
                      <wp:extent cx="209005" cy="209005"/>
                      <wp:effectExtent l="0" t="0" r="19685" b="19685"/>
                      <wp:wrapNone/>
                      <wp:docPr id="11" name="Rectangle 11"/>
                      <wp:cNvGraphicFramePr/>
                      <a:graphic xmlns:a="http://schemas.openxmlformats.org/drawingml/2006/main">
                        <a:graphicData uri="http://schemas.microsoft.com/office/word/2010/wordprocessingShape">
                          <wps:wsp>
                            <wps:cNvSpPr/>
                            <wps:spPr>
                              <a:xfrm>
                                <a:off x="0" y="0"/>
                                <a:ext cx="209005" cy="20900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94948" id="Rectangle 11" o:spid="_x0000_s1026" style="position:absolute;margin-left:8.95pt;margin-top:6.15pt;width:16.45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" fillcolor="white [3214]" strokecolor="#009fdf [3205]" strokeweight="1pt"/>
                  </w:pict>
                </mc:Fallback>
              </mc:AlternateContent>
            </w:r>
          </w:p>
        </w:tc>
        <w:tc>
          <w:tcPr>
            <w:tcW w:w="850" w:type="dxa"/>
            <w:shd w:val="clear" w:color="auto" w:fill="D0DAE3" w:themeFill="accent4" w:themeFillTint="66"/>
          </w:tcPr>
          <w:p w:rsidR="0025789D" w:rsidRDefault="0025789D" w:rsidP="001F5DB4">
            <w:pPr>
              <w:pStyle w:val="TableText"/>
            </w:pPr>
            <w:r>
              <w:rPr>
                <w:noProof/>
                <w:lang w:eastAsia="en-AU"/>
              </w:rPr>
              <mc:AlternateContent>
                <mc:Choice Requires="wps">
                  <w:drawing>
                    <wp:anchor distT="0" distB="0" distL="114300" distR="114300" simplePos="0" relativeHeight="251660288" behindDoc="0" locked="0" layoutInCell="1" allowOverlap="1" wp14:anchorId="0D679A6D" wp14:editId="5A9BF96C">
                      <wp:simplePos x="0" y="0"/>
                      <wp:positionH relativeFrom="column">
                        <wp:posOffset>130175</wp:posOffset>
                      </wp:positionH>
                      <wp:positionV relativeFrom="paragraph">
                        <wp:posOffset>79901</wp:posOffset>
                      </wp:positionV>
                      <wp:extent cx="208915" cy="208915"/>
                      <wp:effectExtent l="0" t="0" r="19685" b="19685"/>
                      <wp:wrapNone/>
                      <wp:docPr id="12" name="Rectangle 12"/>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C1AC" id="Rectangle 12" o:spid="_x0000_s1026" style="position:absolute;margin-left:10.25pt;margin-top:6.3pt;width:16.45pt;height:1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" fillcolor="white [3214]" strokecolor="#0c3b6c [3204]" strokeweight="1pt"/>
                  </w:pict>
                </mc:Fallback>
              </mc:AlternateContent>
            </w:r>
          </w:p>
        </w:tc>
      </w:tr>
      <w:tr w:rsidR="0025789D" w:rsidTr="0025789D">
        <w:trPr>
          <w:trHeight w:val="567"/>
        </w:trPr>
        <w:tc>
          <w:tcPr>
            <w:tcW w:w="8080" w:type="dxa"/>
            <w:vAlign w:val="center"/>
          </w:tcPr>
          <w:p w:rsidR="0025789D" w:rsidRPr="000F7B79" w:rsidRDefault="0025789D" w:rsidP="0025789D">
            <w:pPr>
              <w:pStyle w:val="ListNumber"/>
              <w:spacing w:after="0"/>
              <w:ind w:left="284" w:hanging="284"/>
              <w:rPr>
                <w:rFonts w:cstheme="minorHAnsi"/>
              </w:rPr>
            </w:pPr>
            <w:r>
              <w:t xml:space="preserve">If an investor wants to receive advice about buying or selling shares on the secondary market, </w:t>
            </w:r>
            <w:r>
              <w:br/>
              <w:t>they should use a full-service stockbroking firm</w:t>
            </w:r>
            <w:r w:rsidRPr="00914534">
              <w:t>.</w:t>
            </w:r>
          </w:p>
        </w:tc>
        <w:tc>
          <w:tcPr>
            <w:tcW w:w="850" w:type="dxa"/>
            <w:shd w:val="clear" w:color="auto" w:fill="F2F2F2" w:themeFill="background1" w:themeFillShade="F2"/>
          </w:tcPr>
          <w:p w:rsidR="0025789D" w:rsidRDefault="0025789D" w:rsidP="001F5DB4">
            <w:pPr>
              <w:pStyle w:val="TableText"/>
            </w:pPr>
            <w:r>
              <w:rPr>
                <w:noProof/>
                <w:lang w:eastAsia="en-AU"/>
              </w:rPr>
              <mc:AlternateContent>
                <mc:Choice Requires="wps">
                  <w:drawing>
                    <wp:anchor distT="0" distB="0" distL="114300" distR="114300" simplePos="0" relativeHeight="251661312" behindDoc="0" locked="0" layoutInCell="1" allowOverlap="1" wp14:anchorId="2CBC9C6C" wp14:editId="5AC99C32">
                      <wp:simplePos x="0" y="0"/>
                      <wp:positionH relativeFrom="column">
                        <wp:posOffset>113665</wp:posOffset>
                      </wp:positionH>
                      <wp:positionV relativeFrom="paragraph">
                        <wp:posOffset>67836</wp:posOffset>
                      </wp:positionV>
                      <wp:extent cx="208915" cy="208915"/>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F724A" id="Rectangle 13" o:spid="_x0000_s1026" style="position:absolute;margin-left:8.95pt;margin-top:5.35pt;width:16.45pt;height:1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" fillcolor="white [3214]" strokecolor="#009fdf [3205]" strokeweight="1pt"/>
                  </w:pict>
                </mc:Fallback>
              </mc:AlternateContent>
            </w:r>
          </w:p>
        </w:tc>
        <w:tc>
          <w:tcPr>
            <w:tcW w:w="850" w:type="dxa"/>
            <w:shd w:val="clear" w:color="auto" w:fill="D0DAE3" w:themeFill="accent4" w:themeFillTint="66"/>
          </w:tcPr>
          <w:p w:rsidR="0025789D" w:rsidRDefault="0025789D" w:rsidP="001F5DB4">
            <w:pPr>
              <w:pStyle w:val="TableText"/>
            </w:pPr>
            <w:r>
              <w:rPr>
                <w:noProof/>
                <w:lang w:eastAsia="en-AU"/>
              </w:rPr>
              <mc:AlternateContent>
                <mc:Choice Requires="wps">
                  <w:drawing>
                    <wp:anchor distT="0" distB="0" distL="114300" distR="114300" simplePos="0" relativeHeight="251662336" behindDoc="0" locked="0" layoutInCell="1" allowOverlap="1" wp14:anchorId="037A1684" wp14:editId="7DBE6C17">
                      <wp:simplePos x="0" y="0"/>
                      <wp:positionH relativeFrom="column">
                        <wp:posOffset>130175</wp:posOffset>
                      </wp:positionH>
                      <wp:positionV relativeFrom="paragraph">
                        <wp:posOffset>69741</wp:posOffset>
                      </wp:positionV>
                      <wp:extent cx="208915" cy="208915"/>
                      <wp:effectExtent l="0" t="0" r="19685" b="19685"/>
                      <wp:wrapNone/>
                      <wp:docPr id="14" name="Rectangle 14"/>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811A1" id="Rectangle 14" o:spid="_x0000_s1026" style="position:absolute;margin-left:10.25pt;margin-top:5.5pt;width:16.45pt;height:1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" fillcolor="white [3214]" strokecolor="#0c3b6c [3204]" strokeweight="1pt"/>
                  </w:pict>
                </mc:Fallback>
              </mc:AlternateContent>
            </w:r>
          </w:p>
        </w:tc>
      </w:tr>
      <w:tr w:rsidR="0025789D" w:rsidTr="0025789D">
        <w:trPr>
          <w:trHeight w:val="567"/>
        </w:trPr>
        <w:tc>
          <w:tcPr>
            <w:tcW w:w="8080" w:type="dxa"/>
            <w:vAlign w:val="center"/>
          </w:tcPr>
          <w:p w:rsidR="0025789D" w:rsidRPr="00C23853" w:rsidRDefault="0025789D" w:rsidP="0025789D">
            <w:pPr>
              <w:pStyle w:val="ListNumber"/>
              <w:spacing w:after="0"/>
              <w:ind w:left="284" w:hanging="284"/>
              <w:rPr>
                <w:rFonts w:cstheme="minorBidi"/>
              </w:rPr>
            </w:pPr>
            <w:r>
              <w:t>When an investor buys shares, they are buying them directly from the stockbroking firm who</w:t>
            </w:r>
            <w:r>
              <w:br/>
              <w:t>has a supply of them</w:t>
            </w:r>
            <w:r w:rsidRPr="00914534">
              <w:t>.</w:t>
            </w:r>
          </w:p>
        </w:tc>
        <w:tc>
          <w:tcPr>
            <w:tcW w:w="850" w:type="dxa"/>
            <w:shd w:val="clear" w:color="auto" w:fill="F2F2F2" w:themeFill="background1" w:themeFillShade="F2"/>
          </w:tcPr>
          <w:p w:rsidR="0025789D" w:rsidRDefault="0025789D" w:rsidP="001F5DB4">
            <w:pPr>
              <w:pStyle w:val="TableText"/>
            </w:pPr>
            <w:r>
              <w:rPr>
                <w:noProof/>
                <w:lang w:eastAsia="en-AU"/>
              </w:rPr>
              <mc:AlternateContent>
                <mc:Choice Requires="wps">
                  <w:drawing>
                    <wp:anchor distT="0" distB="0" distL="114300" distR="114300" simplePos="0" relativeHeight="251663360" behindDoc="0" locked="0" layoutInCell="1" allowOverlap="1" wp14:anchorId="0D4599A8" wp14:editId="422479B4">
                      <wp:simplePos x="0" y="0"/>
                      <wp:positionH relativeFrom="column">
                        <wp:posOffset>113665</wp:posOffset>
                      </wp:positionH>
                      <wp:positionV relativeFrom="paragraph">
                        <wp:posOffset>75674</wp:posOffset>
                      </wp:positionV>
                      <wp:extent cx="208915" cy="208915"/>
                      <wp:effectExtent l="0" t="0" r="19685" b="19685"/>
                      <wp:wrapNone/>
                      <wp:docPr id="15" name="Rectangle 15"/>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30A21" id="Rectangle 15" o:spid="_x0000_s1026" style="position:absolute;margin-left:8.95pt;margin-top:5.95pt;width:16.45pt;height:1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" fillcolor="white [3214]" strokecolor="#009fdf [3205]" strokeweight="1pt"/>
                  </w:pict>
                </mc:Fallback>
              </mc:AlternateContent>
            </w:r>
          </w:p>
        </w:tc>
        <w:tc>
          <w:tcPr>
            <w:tcW w:w="850" w:type="dxa"/>
            <w:shd w:val="clear" w:color="auto" w:fill="D0DAE3" w:themeFill="accent4" w:themeFillTint="66"/>
          </w:tcPr>
          <w:p w:rsidR="0025789D" w:rsidRDefault="0025789D" w:rsidP="001F5DB4">
            <w:pPr>
              <w:pStyle w:val="TableText"/>
            </w:pPr>
            <w:r>
              <w:rPr>
                <w:noProof/>
                <w:lang w:eastAsia="en-AU"/>
              </w:rPr>
              <mc:AlternateContent>
                <mc:Choice Requires="wps">
                  <w:drawing>
                    <wp:anchor distT="0" distB="0" distL="114300" distR="114300" simplePos="0" relativeHeight="251664384" behindDoc="0" locked="0" layoutInCell="1" allowOverlap="1" wp14:anchorId="0C5DC6A9" wp14:editId="049AF3D3">
                      <wp:simplePos x="0" y="0"/>
                      <wp:positionH relativeFrom="column">
                        <wp:posOffset>130175</wp:posOffset>
                      </wp:positionH>
                      <wp:positionV relativeFrom="paragraph">
                        <wp:posOffset>77579</wp:posOffset>
                      </wp:positionV>
                      <wp:extent cx="208915" cy="208915"/>
                      <wp:effectExtent l="0" t="0" r="19685" b="19685"/>
                      <wp:wrapNone/>
                      <wp:docPr id="16" name="Rectangle 16"/>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7EB6A" id="Rectangle 16" o:spid="_x0000_s1026" style="position:absolute;margin-left:10.25pt;margin-top:6.1pt;width:16.45pt;height:1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" fillcolor="white [3214]" strokecolor="#0c3b6c [3204]" strokeweight="1pt"/>
                  </w:pict>
                </mc:Fallback>
              </mc:AlternateContent>
            </w:r>
          </w:p>
        </w:tc>
      </w:tr>
      <w:tr w:rsidR="0025789D" w:rsidTr="0025789D">
        <w:trPr>
          <w:trHeight w:val="567"/>
        </w:trPr>
        <w:tc>
          <w:tcPr>
            <w:tcW w:w="8080" w:type="dxa"/>
            <w:vAlign w:val="center"/>
          </w:tcPr>
          <w:p w:rsidR="0025789D" w:rsidRPr="000F7B79" w:rsidRDefault="0025789D" w:rsidP="0025789D">
            <w:pPr>
              <w:pStyle w:val="ListNumber"/>
              <w:spacing w:after="0"/>
              <w:ind w:left="284" w:hanging="284"/>
              <w:rPr>
                <w:rFonts w:cstheme="minorHAnsi"/>
              </w:rPr>
            </w:pPr>
            <w:r>
              <w:t>The computerised trading system matches buy and sell orders and then trades them automatically</w:t>
            </w:r>
            <w:r w:rsidRPr="000F7B79">
              <w:rPr>
                <w:rFonts w:cstheme="minorHAnsi"/>
                <w:color w:val="181B25"/>
                <w:shd w:val="clear" w:color="auto" w:fill="FFFFFF"/>
              </w:rPr>
              <w:t>.</w:t>
            </w:r>
          </w:p>
        </w:tc>
        <w:tc>
          <w:tcPr>
            <w:tcW w:w="850" w:type="dxa"/>
            <w:shd w:val="clear" w:color="auto" w:fill="F2F2F2" w:themeFill="background1" w:themeFillShade="F2"/>
          </w:tcPr>
          <w:p w:rsidR="0025789D" w:rsidRDefault="0025789D" w:rsidP="001F5DB4">
            <w:pPr>
              <w:pStyle w:val="TableText"/>
            </w:pPr>
            <w:r>
              <w:rPr>
                <w:noProof/>
                <w:lang w:eastAsia="en-AU"/>
              </w:rPr>
              <mc:AlternateContent>
                <mc:Choice Requires="wps">
                  <w:drawing>
                    <wp:anchor distT="0" distB="0" distL="114300" distR="114300" simplePos="0" relativeHeight="251665408" behindDoc="0" locked="0" layoutInCell="1" allowOverlap="1" wp14:anchorId="4788A27E" wp14:editId="5FCEA87E">
                      <wp:simplePos x="0" y="0"/>
                      <wp:positionH relativeFrom="column">
                        <wp:posOffset>113665</wp:posOffset>
                      </wp:positionH>
                      <wp:positionV relativeFrom="paragraph">
                        <wp:posOffset>75039</wp:posOffset>
                      </wp:positionV>
                      <wp:extent cx="208915" cy="208915"/>
                      <wp:effectExtent l="0" t="0" r="19685" b="19685"/>
                      <wp:wrapNone/>
                      <wp:docPr id="19" name="Rectangle 19"/>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96A48" id="Rectangle 19" o:spid="_x0000_s1026" style="position:absolute;margin-left:8.95pt;margin-top:5.9pt;width:16.45pt;height:16.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" fillcolor="white [3214]" strokecolor="#009fdf [3205]" strokeweight="1pt"/>
                  </w:pict>
                </mc:Fallback>
              </mc:AlternateContent>
            </w:r>
          </w:p>
        </w:tc>
        <w:tc>
          <w:tcPr>
            <w:tcW w:w="850" w:type="dxa"/>
            <w:shd w:val="clear" w:color="auto" w:fill="D0DAE3" w:themeFill="accent4" w:themeFillTint="66"/>
          </w:tcPr>
          <w:p w:rsidR="0025789D" w:rsidRDefault="0025789D" w:rsidP="001F5DB4">
            <w:pPr>
              <w:pStyle w:val="TableText"/>
            </w:pPr>
            <w:r>
              <w:rPr>
                <w:noProof/>
                <w:lang w:eastAsia="en-AU"/>
              </w:rPr>
              <mc:AlternateContent>
                <mc:Choice Requires="wps">
                  <w:drawing>
                    <wp:anchor distT="0" distB="0" distL="114300" distR="114300" simplePos="0" relativeHeight="251666432" behindDoc="0" locked="0" layoutInCell="1" allowOverlap="1" wp14:anchorId="1622D91F" wp14:editId="51F02A97">
                      <wp:simplePos x="0" y="0"/>
                      <wp:positionH relativeFrom="column">
                        <wp:posOffset>130175</wp:posOffset>
                      </wp:positionH>
                      <wp:positionV relativeFrom="paragraph">
                        <wp:posOffset>76944</wp:posOffset>
                      </wp:positionV>
                      <wp:extent cx="208915" cy="208915"/>
                      <wp:effectExtent l="0" t="0" r="19685" b="19685"/>
                      <wp:wrapNone/>
                      <wp:docPr id="20" name="Rectangle 20"/>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5B1A8" id="Rectangle 20" o:spid="_x0000_s1026" style="position:absolute;margin-left:10.25pt;margin-top:6.05pt;width:16.45pt;height:1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" fillcolor="white [3214]" strokecolor="#0c3b6c [3204]" strokeweight="1pt"/>
                  </w:pict>
                </mc:Fallback>
              </mc:AlternateContent>
            </w:r>
          </w:p>
        </w:tc>
      </w:tr>
      <w:tr w:rsidR="0025789D" w:rsidTr="0025789D">
        <w:trPr>
          <w:trHeight w:val="567"/>
        </w:trPr>
        <w:tc>
          <w:tcPr>
            <w:tcW w:w="8080" w:type="dxa"/>
            <w:vAlign w:val="center"/>
          </w:tcPr>
          <w:p w:rsidR="0025789D" w:rsidRPr="000F7B79" w:rsidRDefault="0025789D" w:rsidP="0025789D">
            <w:pPr>
              <w:pStyle w:val="ListNumber"/>
              <w:spacing w:after="0"/>
              <w:ind w:left="284" w:hanging="284"/>
              <w:rPr>
                <w:rFonts w:cstheme="minorHAnsi"/>
              </w:rPr>
            </w:pPr>
            <w:r>
              <w:t>All information should be sought from the same source and at a local level</w:t>
            </w:r>
            <w:r w:rsidRPr="000F7B79">
              <w:rPr>
                <w:rFonts w:cstheme="minorHAnsi"/>
                <w:color w:val="181B25"/>
                <w:shd w:val="clear" w:color="auto" w:fill="FFFFFF"/>
              </w:rPr>
              <w:t>.</w:t>
            </w:r>
          </w:p>
        </w:tc>
        <w:tc>
          <w:tcPr>
            <w:tcW w:w="850" w:type="dxa"/>
            <w:shd w:val="clear" w:color="auto" w:fill="F2F2F2" w:themeFill="background1" w:themeFillShade="F2"/>
          </w:tcPr>
          <w:p w:rsidR="0025789D" w:rsidRDefault="0025789D" w:rsidP="001F5DB4">
            <w:pPr>
              <w:pStyle w:val="TableText"/>
            </w:pPr>
            <w:r>
              <w:rPr>
                <w:noProof/>
                <w:lang w:eastAsia="en-AU"/>
              </w:rPr>
              <mc:AlternateContent>
                <mc:Choice Requires="wps">
                  <w:drawing>
                    <wp:anchor distT="0" distB="0" distL="114300" distR="114300" simplePos="0" relativeHeight="251667456" behindDoc="0" locked="0" layoutInCell="1" allowOverlap="1" wp14:anchorId="059EC2C4" wp14:editId="36A29FDD">
                      <wp:simplePos x="0" y="0"/>
                      <wp:positionH relativeFrom="column">
                        <wp:posOffset>113665</wp:posOffset>
                      </wp:positionH>
                      <wp:positionV relativeFrom="paragraph">
                        <wp:posOffset>74821</wp:posOffset>
                      </wp:positionV>
                      <wp:extent cx="208915" cy="208915"/>
                      <wp:effectExtent l="0" t="0" r="19685" b="19685"/>
                      <wp:wrapNone/>
                      <wp:docPr id="21" name="Rectangle 21"/>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5B7FA" id="Rectangle 21" o:spid="_x0000_s1026" style="position:absolute;margin-left:8.95pt;margin-top:5.9pt;width:16.45pt;height:16.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" fillcolor="white [3214]" strokecolor="#009fdf [3205]" strokeweight="1pt"/>
                  </w:pict>
                </mc:Fallback>
              </mc:AlternateContent>
            </w:r>
          </w:p>
        </w:tc>
        <w:tc>
          <w:tcPr>
            <w:tcW w:w="850" w:type="dxa"/>
            <w:shd w:val="clear" w:color="auto" w:fill="D0DAE3" w:themeFill="accent4" w:themeFillTint="66"/>
          </w:tcPr>
          <w:p w:rsidR="0025789D" w:rsidRDefault="0025789D" w:rsidP="001F5DB4">
            <w:pPr>
              <w:pStyle w:val="TableText"/>
            </w:pPr>
            <w:r>
              <w:rPr>
                <w:noProof/>
                <w:lang w:eastAsia="en-AU"/>
              </w:rPr>
              <mc:AlternateContent>
                <mc:Choice Requires="wps">
                  <w:drawing>
                    <wp:anchor distT="0" distB="0" distL="114300" distR="114300" simplePos="0" relativeHeight="251668480" behindDoc="0" locked="0" layoutInCell="1" allowOverlap="1" wp14:anchorId="17DB9FC7" wp14:editId="5F8D5B80">
                      <wp:simplePos x="0" y="0"/>
                      <wp:positionH relativeFrom="column">
                        <wp:posOffset>130175</wp:posOffset>
                      </wp:positionH>
                      <wp:positionV relativeFrom="paragraph">
                        <wp:posOffset>76726</wp:posOffset>
                      </wp:positionV>
                      <wp:extent cx="208915" cy="208915"/>
                      <wp:effectExtent l="0" t="0" r="19685" b="19685"/>
                      <wp:wrapNone/>
                      <wp:docPr id="22" name="Rectangle 22"/>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17449" id="Rectangle 22" o:spid="_x0000_s1026" style="position:absolute;margin-left:10.25pt;margin-top:6.05pt;width:16.45pt;height:1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" fillcolor="white [3214]" strokecolor="#0c3b6c [3204]" strokeweight="1pt"/>
                  </w:pict>
                </mc:Fallback>
              </mc:AlternateContent>
            </w:r>
          </w:p>
        </w:tc>
      </w:tr>
    </w:tbl>
    <w:p w:rsidR="006654FF" w:rsidRPr="006654FF" w:rsidRDefault="006654FF" w:rsidP="006654FF">
      <w:pPr>
        <w:pStyle w:val="Bodycopy"/>
      </w:pPr>
    </w:p>
    <w:p w:rsidR="00B139C2" w:rsidRPr="00B66AF5" w:rsidRDefault="00B139C2" w:rsidP="00B139C2">
      <w:pPr>
        <w:pStyle w:val="Intro"/>
      </w:pPr>
      <w:r w:rsidRPr="00B66AF5">
        <w:t xml:space="preserve">Activity </w:t>
      </w:r>
      <w:r w:rsidR="006F4846">
        <w:t>2</w:t>
      </w:r>
    </w:p>
    <w:p w:rsidR="00B139C2" w:rsidRDefault="00B139C2" w:rsidP="00B139C2">
      <w:pPr>
        <w:pStyle w:val="Heading3"/>
      </w:pPr>
      <w:r>
        <w:t>Research Task</w:t>
      </w:r>
      <w:r w:rsidR="00A45850">
        <w:t xml:space="preserve"> – </w:t>
      </w:r>
      <w:r>
        <w:t>Career Profile – Stockbroker</w:t>
      </w:r>
    </w:p>
    <w:p w:rsidR="00B139C2" w:rsidRPr="00B139C2" w:rsidRDefault="00B139C2" w:rsidP="00B139C2">
      <w:pPr>
        <w:rPr>
          <w:lang w:eastAsia="en-US"/>
        </w:rPr>
      </w:pPr>
      <w:r>
        <w:t>Write a one-page report addressing the following criteria:</w:t>
      </w:r>
    </w:p>
    <w:p w:rsidR="00B139C2" w:rsidRPr="00B139C2" w:rsidRDefault="00B139C2" w:rsidP="00B139C2">
      <w:pPr>
        <w:rPr>
          <w:rFonts w:cstheme="minorHAnsi"/>
          <w:color w:val="222222"/>
          <w:shd w:val="clear" w:color="auto" w:fill="FFFFFF"/>
        </w:rPr>
      </w:pPr>
      <w:r w:rsidRPr="00A45850">
        <w:rPr>
          <w:rFonts w:cstheme="minorHAnsi"/>
          <w:b/>
          <w:bCs/>
        </w:rPr>
        <w:t>Identify</w:t>
      </w:r>
      <w:r w:rsidRPr="00B139C2">
        <w:rPr>
          <w:rFonts w:cstheme="minorHAnsi"/>
          <w:color w:val="222222"/>
          <w:shd w:val="clear" w:color="auto" w:fill="FFFFFF"/>
        </w:rPr>
        <w:t xml:space="preserve"> the qualifications needed to become a stockbroker. </w:t>
      </w:r>
    </w:p>
    <w:p w:rsidR="00B139C2" w:rsidRPr="00B139C2" w:rsidRDefault="00B139C2" w:rsidP="00B139C2">
      <w:pPr>
        <w:rPr>
          <w:rFonts w:cstheme="minorHAnsi"/>
          <w:color w:val="222222"/>
          <w:shd w:val="clear" w:color="auto" w:fill="FFFFFF"/>
        </w:rPr>
      </w:pPr>
      <w:r w:rsidRPr="00A45850">
        <w:rPr>
          <w:rFonts w:cstheme="minorHAnsi"/>
          <w:b/>
          <w:bCs/>
        </w:rPr>
        <w:t>Describe</w:t>
      </w:r>
      <w:r w:rsidRPr="00B139C2">
        <w:rPr>
          <w:rFonts w:cstheme="minorHAnsi"/>
          <w:color w:val="222222"/>
          <w:shd w:val="clear" w:color="auto" w:fill="FFFFFF"/>
        </w:rPr>
        <w:t xml:space="preserve"> the day-to-day responsibilities of being a stockbroker.</w:t>
      </w:r>
    </w:p>
    <w:p w:rsidR="00B139C2" w:rsidRPr="00B139C2" w:rsidRDefault="00B139C2" w:rsidP="00B139C2">
      <w:pPr>
        <w:rPr>
          <w:rFonts w:cstheme="minorHAnsi"/>
          <w:color w:val="222222"/>
          <w:shd w:val="clear" w:color="auto" w:fill="FFFFFF"/>
        </w:rPr>
      </w:pPr>
      <w:r w:rsidRPr="00A45850">
        <w:rPr>
          <w:rFonts w:cstheme="minorHAnsi"/>
          <w:b/>
          <w:bCs/>
        </w:rPr>
        <w:t>Outline</w:t>
      </w:r>
      <w:r w:rsidRPr="00B139C2">
        <w:rPr>
          <w:rFonts w:cstheme="minorHAnsi"/>
          <w:color w:val="222222"/>
          <w:shd w:val="clear" w:color="auto" w:fill="FFFFFF"/>
        </w:rPr>
        <w:t xml:space="preserve"> the role of ASIC in relation to stockbrokers.</w:t>
      </w:r>
    </w:p>
    <w:p w:rsidR="00B139C2" w:rsidRPr="00B139C2" w:rsidRDefault="00B139C2" w:rsidP="00B139C2">
      <w:pPr>
        <w:rPr>
          <w:rFonts w:cstheme="minorHAnsi"/>
          <w:color w:val="222222"/>
          <w:shd w:val="clear" w:color="auto" w:fill="FFFFFF"/>
        </w:rPr>
      </w:pPr>
      <w:r w:rsidRPr="00A45850">
        <w:rPr>
          <w:rFonts w:cstheme="minorHAnsi"/>
          <w:b/>
          <w:bCs/>
        </w:rPr>
        <w:t>Identify</w:t>
      </w:r>
      <w:r w:rsidRPr="00B139C2">
        <w:rPr>
          <w:rFonts w:cstheme="minorHAnsi"/>
          <w:color w:val="222222"/>
          <w:shd w:val="clear" w:color="auto" w:fill="FFFFFF"/>
        </w:rPr>
        <w:t xml:space="preserve"> the training courses needed through the Stockbrokers Association of Australia.</w:t>
      </w:r>
    </w:p>
    <w:p w:rsidR="00B139C2" w:rsidRPr="00B139C2" w:rsidRDefault="00B139C2" w:rsidP="00B139C2">
      <w:pPr>
        <w:rPr>
          <w:rFonts w:cstheme="minorHAnsi"/>
          <w:color w:val="222222"/>
          <w:shd w:val="clear" w:color="auto" w:fill="FFFFFF"/>
        </w:rPr>
      </w:pPr>
      <w:r w:rsidRPr="00A45850">
        <w:rPr>
          <w:rFonts w:cstheme="minorHAnsi"/>
          <w:b/>
          <w:bCs/>
        </w:rPr>
        <w:t>Identify</w:t>
      </w:r>
      <w:r w:rsidRPr="00B139C2">
        <w:rPr>
          <w:rFonts w:cstheme="minorHAnsi"/>
          <w:color w:val="222222"/>
          <w:shd w:val="clear" w:color="auto" w:fill="FFFFFF"/>
        </w:rPr>
        <w:t xml:space="preserve"> the salary expectations for a stockbroker in Australia.</w:t>
      </w:r>
    </w:p>
    <w:p w:rsidR="00A45850" w:rsidRDefault="00B139C2" w:rsidP="00B139C2">
      <w:pPr>
        <w:rPr>
          <w:rFonts w:cstheme="minorHAnsi"/>
          <w:color w:val="222222"/>
          <w:shd w:val="clear" w:color="auto" w:fill="FFFFFF"/>
        </w:rPr>
      </w:pPr>
      <w:r w:rsidRPr="00A45850">
        <w:rPr>
          <w:rFonts w:cstheme="minorHAnsi"/>
          <w:b/>
          <w:bCs/>
        </w:rPr>
        <w:t>Outline</w:t>
      </w:r>
      <w:r w:rsidRPr="00B139C2">
        <w:rPr>
          <w:rFonts w:cstheme="minorHAnsi"/>
          <w:color w:val="222222"/>
          <w:shd w:val="clear" w:color="auto" w:fill="FFFFFF"/>
        </w:rPr>
        <w:t xml:space="preserve"> the requirements needed to ensure a </w:t>
      </w:r>
      <w:r w:rsidR="00E261F7" w:rsidRPr="00B139C2">
        <w:rPr>
          <w:rFonts w:cstheme="minorHAnsi"/>
          <w:color w:val="222222"/>
          <w:shd w:val="clear" w:color="auto" w:fill="FFFFFF"/>
        </w:rPr>
        <w:t>stockbroker’s</w:t>
      </w:r>
      <w:r w:rsidRPr="00B139C2">
        <w:rPr>
          <w:rFonts w:cstheme="minorHAnsi"/>
          <w:color w:val="222222"/>
          <w:shd w:val="clear" w:color="auto" w:fill="FFFFFF"/>
        </w:rPr>
        <w:t xml:space="preserve"> knowledge remains up to date.</w:t>
      </w:r>
    </w:p>
    <w:p w:rsidR="00B139C2" w:rsidRDefault="00B139C2" w:rsidP="00B139C2">
      <w:pPr>
        <w:rPr>
          <w:rFonts w:cstheme="minorHAnsi"/>
          <w:color w:val="222222"/>
          <w:shd w:val="clear" w:color="auto" w:fill="FFFFFF"/>
        </w:rPr>
      </w:pPr>
      <w:r w:rsidRPr="00B139C2">
        <w:rPr>
          <w:rFonts w:cstheme="minorHAnsi"/>
          <w:color w:val="222222"/>
          <w:shd w:val="clear" w:color="auto" w:fill="FFFFFF"/>
        </w:rPr>
        <w:t xml:space="preserve"> </w:t>
      </w:r>
    </w:p>
    <w:p w:rsidR="00A45850" w:rsidRDefault="00A45850">
      <w:pPr>
        <w:adjustRightInd/>
        <w:snapToGrid/>
        <w:spacing w:after="0"/>
        <w:rPr>
          <w:color w:val="009FDF" w:themeColor="accent2"/>
          <w:sz w:val="24"/>
        </w:rPr>
      </w:pPr>
      <w:r>
        <w:br w:type="page"/>
      </w:r>
    </w:p>
    <w:p w:rsidR="00A45850" w:rsidRDefault="00A45850" w:rsidP="00A45850">
      <w:pPr>
        <w:pStyle w:val="Intro"/>
      </w:pPr>
      <w:r>
        <w:lastRenderedPageBreak/>
        <w:t xml:space="preserve">Computerised Trading System </w:t>
      </w:r>
    </w:p>
    <w:p w:rsidR="00A45850" w:rsidRPr="00A45850" w:rsidRDefault="00A45850" w:rsidP="00A45850">
      <w:r w:rsidRPr="00A45850">
        <w:t>All share trading on the ASX is electronic, with only brokers being able to access the trading system on behalf of investors. The following is an example of what the trading system looks like:</w:t>
      </w:r>
    </w:p>
    <w:p w:rsidR="00A45850" w:rsidRPr="00B139C2" w:rsidRDefault="00A45850" w:rsidP="00B139C2">
      <w:pPr>
        <w:rPr>
          <w:rFonts w:cstheme="minorHAnsi"/>
          <w:color w:val="222222"/>
          <w:shd w:val="clear" w:color="auto" w:fill="FFFFFF"/>
        </w:rPr>
      </w:pPr>
      <w:r w:rsidRPr="00B12FDB">
        <w:rPr>
          <w:noProof/>
        </w:rPr>
        <w:drawing>
          <wp:inline distT="0" distB="0" distL="0" distR="0" wp14:anchorId="3B70E7AE" wp14:editId="7574C205">
            <wp:extent cx="5042889" cy="2949613"/>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0528" cy="2954081"/>
                    </a:xfrm>
                    <a:prstGeom prst="rect">
                      <a:avLst/>
                    </a:prstGeom>
                  </pic:spPr>
                </pic:pic>
              </a:graphicData>
            </a:graphic>
          </wp:inline>
        </w:drawing>
      </w:r>
    </w:p>
    <w:p w:rsidR="00A45850" w:rsidRDefault="00A45850" w:rsidP="00A45850"/>
    <w:p w:rsidR="00A45850" w:rsidRPr="00A45850" w:rsidRDefault="00A45850" w:rsidP="00A45850">
      <w:r w:rsidRPr="00A45850">
        <w:t xml:space="preserve">The most common order used on the market is an “at limit” order. This is when investors instruct their broker to buy or sell a security at a given price or better. A request to buy is known as a bid. And a request to sell is known as an ask. </w:t>
      </w:r>
    </w:p>
    <w:p w:rsidR="00A45850" w:rsidRPr="00A45850" w:rsidRDefault="00A45850" w:rsidP="00A45850">
      <w:r w:rsidRPr="00A45850">
        <w:t xml:space="preserve">If there is more than one order at the same price, the order that was placed first takes precedence, with larger orders having no priority over small orders. Once investors have instructed their broker to buy or sell shares the order is immediately entered into the trading system by </w:t>
      </w:r>
      <w:r w:rsidR="00E1487D" w:rsidRPr="00E1487D">
        <w:t>an algorithm</w:t>
      </w:r>
      <w:r w:rsidR="00E1487D">
        <w:t>.</w:t>
      </w:r>
      <w:r w:rsidRPr="00A45850">
        <w:t xml:space="preserve"> </w:t>
      </w:r>
    </w:p>
    <w:p w:rsidR="00A45850" w:rsidRPr="00A45850" w:rsidRDefault="00A45850" w:rsidP="00A45850">
      <w:r w:rsidRPr="00A45850">
        <w:t xml:space="preserve">As demonstrated in the image above, there are </w:t>
      </w:r>
      <w:proofErr w:type="gramStart"/>
      <w:r w:rsidRPr="00A45850">
        <w:t>2</w:t>
      </w:r>
      <w:proofErr w:type="gramEnd"/>
      <w:r w:rsidRPr="00A45850">
        <w:t xml:space="preserve"> orders in the market willing to buy XYZ for $4.15. The quantity of shares to be purchased at this price is 93,227 (83,227 + 10,000). If there is more than one buyer at a price the number of shares each buyer wishes to purchase at this price, it is often added together to show a combined total. The lowest price any seller is willing to sell XYZ shares for is $4.16 and the quantity of shares to be sold at this price is 199,999. </w:t>
      </w:r>
    </w:p>
    <w:p w:rsidR="00A45850" w:rsidRPr="00A45850" w:rsidRDefault="00A45850" w:rsidP="00A45850">
      <w:r w:rsidRPr="00A45850">
        <w:t xml:space="preserve">As shown, buyers are wanting to buy XYZ for $4.15 but a seller will only sell at $4.16. Both buyer and seller will need to agree on a price. The buyer(-s) will need to pay one cent more per share or the seller(s) may accept being paid one cent less for XYZ shares. If an investor offers to buy shares at a price higher than the current offer, they may take all the quantity for sale at the best price and then have access to shares on offer at the next best price. Similarly, if sellers offer to sell at a price lower than the current best price, they will move to the top of the queue and have the first opportunity to sell their shares. This is done using the unique HIN given to each investor. </w:t>
      </w:r>
    </w:p>
    <w:p w:rsidR="0075652A" w:rsidRPr="0075652A" w:rsidRDefault="0075652A" w:rsidP="0072344E">
      <w:pPr>
        <w:pStyle w:val="ListNumber"/>
        <w:numPr>
          <w:ilvl w:val="0"/>
          <w:numId w:val="0"/>
        </w:numPr>
      </w:pPr>
    </w:p>
    <w:p w:rsidR="00A45850" w:rsidRDefault="00A45850">
      <w:pPr>
        <w:adjustRightInd/>
        <w:snapToGrid/>
        <w:spacing w:after="0"/>
        <w:rPr>
          <w:rFonts w:eastAsiaTheme="minorHAnsi" w:cs="Arial"/>
          <w:color w:val="009FDF" w:themeColor="accent2"/>
          <w:sz w:val="24"/>
          <w:szCs w:val="28"/>
          <w:lang w:eastAsia="en-US"/>
        </w:rPr>
      </w:pPr>
      <w:r>
        <w:rPr>
          <w:b/>
          <w:bCs/>
          <w:iCs/>
          <w:color w:val="009FDF" w:themeColor="accent2"/>
          <w:sz w:val="24"/>
        </w:rPr>
        <w:br w:type="page"/>
      </w:r>
    </w:p>
    <w:p w:rsidR="00786FDF" w:rsidRPr="0062455C"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lastRenderedPageBreak/>
        <w:t>T</w:t>
      </w:r>
      <w:r w:rsidR="0062455C">
        <w:rPr>
          <w:rFonts w:asciiTheme="minorHAnsi" w:hAnsiTheme="minorHAnsi"/>
          <w:b w:val="0"/>
          <w:bCs w:val="0"/>
          <w:iCs w:val="0"/>
          <w:color w:val="009FDF" w:themeColor="accent2"/>
          <w:spacing w:val="0"/>
          <w:sz w:val="24"/>
        </w:rPr>
        <w:t>erminology (skill directives)</w:t>
      </w:r>
    </w:p>
    <w:p w:rsidR="0075652A" w:rsidRDefault="00A45850" w:rsidP="0075652A">
      <w:pPr>
        <w:rPr>
          <w:rFonts w:cstheme="minorHAnsi"/>
          <w:b/>
          <w:bCs/>
          <w:color w:val="auto"/>
          <w:szCs w:val="22"/>
          <w:u w:val="single"/>
        </w:rPr>
      </w:pPr>
      <w:r>
        <w:rPr>
          <w:rFonts w:cstheme="minorHAnsi"/>
          <w:b/>
          <w:bCs/>
        </w:rPr>
        <w:t>Describe</w:t>
      </w:r>
      <w:r w:rsidR="0075652A">
        <w:rPr>
          <w:rStyle w:val="Heading4Char"/>
        </w:rPr>
        <w:t xml:space="preserve"> – </w:t>
      </w:r>
      <w:r w:rsidRPr="00C367B1">
        <w:rPr>
          <w:rFonts w:cstheme="minorHAnsi"/>
          <w:color w:val="222222"/>
          <w:shd w:val="clear" w:color="auto" w:fill="FFFFFF"/>
        </w:rPr>
        <w:t>Provide characteristics and features</w:t>
      </w:r>
      <w:r w:rsidR="0075652A">
        <w:rPr>
          <w:rFonts w:cstheme="minorHAnsi"/>
          <w:color w:val="222222"/>
          <w:shd w:val="clear" w:color="auto" w:fill="FFFFFF"/>
        </w:rPr>
        <w:t>.</w:t>
      </w:r>
    </w:p>
    <w:p w:rsidR="0075652A" w:rsidRDefault="0075652A" w:rsidP="0075652A">
      <w:pPr>
        <w:rPr>
          <w:rFonts w:cstheme="minorHAnsi"/>
          <w:color w:val="222222"/>
        </w:rPr>
      </w:pPr>
      <w:r w:rsidRPr="0075652A">
        <w:rPr>
          <w:rFonts w:cstheme="minorHAnsi"/>
          <w:b/>
          <w:bCs/>
        </w:rPr>
        <w:t>Identify</w:t>
      </w:r>
      <w:r>
        <w:rPr>
          <w:rStyle w:val="Heading4Char"/>
        </w:rPr>
        <w:t xml:space="preserve"> – </w:t>
      </w:r>
      <w:r>
        <w:rPr>
          <w:rFonts w:cstheme="minorHAnsi"/>
          <w:color w:val="222222"/>
          <w:shd w:val="clear" w:color="auto" w:fill="FFFFFF"/>
        </w:rPr>
        <w:t xml:space="preserve">Recognise and name; </w:t>
      </w:r>
      <w:r>
        <w:rPr>
          <w:rFonts w:cstheme="minorHAnsi"/>
          <w:color w:val="222222"/>
        </w:rPr>
        <w:t>Establish or indicate who or what someone or something is.</w:t>
      </w:r>
    </w:p>
    <w:p w:rsidR="001F44D1" w:rsidRDefault="00A45850" w:rsidP="0075652A">
      <w:pPr>
        <w:rPr>
          <w:rFonts w:cstheme="minorHAnsi"/>
          <w:color w:val="222222"/>
          <w:shd w:val="clear" w:color="auto" w:fill="FFFFFF"/>
        </w:rPr>
      </w:pPr>
      <w:r>
        <w:rPr>
          <w:rFonts w:cstheme="minorHAnsi"/>
          <w:b/>
          <w:bCs/>
        </w:rPr>
        <w:t>Outline</w:t>
      </w:r>
      <w:r w:rsidR="0072344E">
        <w:rPr>
          <w:rStyle w:val="Heading4Char"/>
        </w:rPr>
        <w:t xml:space="preserve"> – </w:t>
      </w:r>
      <w:r w:rsidRPr="00C367B1">
        <w:rPr>
          <w:rFonts w:cstheme="minorHAnsi"/>
          <w:color w:val="222222"/>
          <w:shd w:val="clear" w:color="auto" w:fill="FFFFFF"/>
        </w:rPr>
        <w:t xml:space="preserve">Sketch in general terms; indicate the main features of; </w:t>
      </w:r>
      <w:r w:rsidRPr="00C367B1">
        <w:rPr>
          <w:rFonts w:cstheme="minorHAnsi"/>
          <w:color w:val="222222"/>
        </w:rPr>
        <w:t>plan, collect and interpret data/information and draw conclusions about</w:t>
      </w:r>
      <w:r w:rsidR="0072344E">
        <w:rPr>
          <w:rFonts w:cstheme="minorHAnsi"/>
          <w:color w:val="222222"/>
          <w:shd w:val="clear" w:color="auto" w:fill="FFFFFF"/>
        </w:rPr>
        <w:t>.</w:t>
      </w:r>
    </w:p>
    <w:p w:rsidR="00A45850" w:rsidRDefault="00A45850" w:rsidP="0075652A">
      <w:pPr>
        <w:rPr>
          <w:rFonts w:cstheme="minorHAnsi"/>
          <w:color w:val="222222"/>
        </w:rPr>
      </w:pPr>
    </w:p>
    <w:p w:rsidR="00786FDF" w:rsidRPr="0062455C"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Glossary</w:t>
      </w:r>
    </w:p>
    <w:p w:rsidR="001F44D1" w:rsidRDefault="00A45850" w:rsidP="00A45850">
      <w:r w:rsidRPr="00A45850">
        <w:rPr>
          <w:rFonts w:cstheme="minorHAnsi"/>
          <w:b/>
        </w:rPr>
        <w:t>Brokerage –</w:t>
      </w:r>
      <w:r w:rsidRPr="000B51EB">
        <w:t xml:space="preserve"> the fee charged by stockbrokers to investors to act on their behalf in the buying of shares.</w:t>
      </w:r>
    </w:p>
    <w:p w:rsidR="00A45850" w:rsidRDefault="00A45850" w:rsidP="00A45850">
      <w:pPr>
        <w:rPr>
          <w:rFonts w:cstheme="minorHAnsi"/>
        </w:rPr>
      </w:pPr>
      <w:bookmarkStart w:id="0" w:name="_GoBack"/>
      <w:bookmarkEnd w:id="0"/>
      <w:r w:rsidRPr="00A45850">
        <w:rPr>
          <w:rFonts w:cstheme="minorHAnsi"/>
          <w:b/>
        </w:rPr>
        <w:t>Equity –</w:t>
      </w:r>
      <w:r w:rsidRPr="00D22783">
        <w:rPr>
          <w:rFonts w:cstheme="minorHAnsi"/>
        </w:rPr>
        <w:t xml:space="preserve"> The amount of money invested into a business by shareholders.</w:t>
      </w:r>
    </w:p>
    <w:p w:rsidR="00A45850" w:rsidRPr="001F44D1" w:rsidRDefault="00A45850" w:rsidP="00A45850">
      <w:pPr>
        <w:rPr>
          <w:rFonts w:cstheme="minorHAnsi"/>
        </w:rPr>
      </w:pPr>
      <w:r w:rsidRPr="00A45850">
        <w:rPr>
          <w:rFonts w:cstheme="minorHAnsi"/>
          <w:b/>
        </w:rPr>
        <w:t>Float –</w:t>
      </w:r>
      <w:r w:rsidRPr="00D22783">
        <w:rPr>
          <w:rFonts w:cstheme="minorHAnsi"/>
        </w:rPr>
        <w:t xml:space="preserve"> </w:t>
      </w:r>
      <w:r w:rsidR="00BB40BC" w:rsidRPr="00BB40BC">
        <w:t>This is when a company issues shares to the public for the first time. Another term used is Initial Public Offering (IPO).</w:t>
      </w:r>
    </w:p>
    <w:sectPr w:rsidR="00A45850" w:rsidRPr="001F44D1" w:rsidSect="00CF6C04">
      <w:headerReference w:type="even" r:id="rId13"/>
      <w:headerReference w:type="default" r:id="rId14"/>
      <w:footerReference w:type="even" r:id="rId15"/>
      <w:footerReference w:type="default" r:id="rId16"/>
      <w:headerReference w:type="first" r:id="rId17"/>
      <w:footerReference w:type="first" r:id="rId18"/>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9B" w:rsidRDefault="0084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3"/>
    </w:tblGrid>
    <w:tr w:rsidR="00C368C0" w:rsidTr="00DF42E8">
      <w:tc>
        <w:tcPr>
          <w:tcW w:w="4395" w:type="dxa"/>
          <w:tcMar>
            <w:top w:w="102" w:type="dxa"/>
            <w:left w:w="0" w:type="dxa"/>
            <w:bottom w:w="0" w:type="dxa"/>
            <w:right w:w="0" w:type="dxa"/>
          </w:tcMar>
          <w:hideMark/>
        </w:tcPr>
        <w:p w:rsidR="00C368C0" w:rsidRDefault="00C368C0" w:rsidP="0084189B">
          <w:pPr>
            <w:pStyle w:val="Footer"/>
            <w:rPr>
              <w:szCs w:val="20"/>
            </w:rPr>
          </w:pPr>
          <w:r>
            <w:t xml:space="preserve">© </w:t>
          </w:r>
          <w:r>
            <w:fldChar w:fldCharType="begin"/>
          </w:r>
          <w:r>
            <w:instrText xml:space="preserve"> DATE  \@ "yyyy" </w:instrText>
          </w:r>
          <w:r>
            <w:fldChar w:fldCharType="separate"/>
          </w:r>
          <w:r w:rsidR="00E1487D">
            <w:rPr>
              <w:noProof/>
            </w:rPr>
            <w:t>2023</w:t>
          </w:r>
          <w:r>
            <w:fldChar w:fldCharType="end"/>
          </w:r>
          <w:r>
            <w:t xml:space="preserve"> ASX Limited ABN 98 008 624 691 | </w:t>
          </w:r>
          <w:r w:rsidR="001823E9">
            <w:t>Schools Sharemarket Game</w:t>
          </w:r>
          <w:r>
            <w:fldChar w:fldCharType="begin"/>
          </w:r>
          <w:r>
            <w:instrText xml:space="preserve"> STYLEREF  "Version No"  \* MERGEFORMAT </w:instrText>
          </w:r>
          <w:r>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C368C0" w:rsidRDefault="00BB40BC" w:rsidP="007C44E0">
          <w:pPr>
            <w:pStyle w:val="Footer"/>
            <w:jc w:val="right"/>
            <w:rPr>
              <w:rStyle w:val="PageNumber"/>
            </w:rPr>
          </w:pPr>
          <w:fldSimple w:instr=" STYLEREF  &quot;DocType&quot; ">
            <w:r w:rsidR="00E1487D">
              <w:rPr>
                <w:noProof/>
              </w:rPr>
              <w:t>Lesson 7</w:t>
            </w:r>
          </w:fldSimple>
          <w:r w:rsidR="00C368C0">
            <w:t xml:space="preserve">  </w:t>
          </w:r>
          <w:r w:rsidR="00C368C0">
            <w:rPr>
              <w:rStyle w:val="PageNumber"/>
            </w:rPr>
            <w:fldChar w:fldCharType="begin"/>
          </w:r>
          <w:r w:rsidR="00C368C0">
            <w:rPr>
              <w:rStyle w:val="PageNumber"/>
            </w:rPr>
            <w:instrText xml:space="preserve"> PAGE  \* Arabic </w:instrText>
          </w:r>
          <w:r w:rsidR="00C368C0">
            <w:rPr>
              <w:rStyle w:val="PageNumber"/>
            </w:rPr>
            <w:fldChar w:fldCharType="separate"/>
          </w:r>
          <w:r w:rsidR="00E1487D">
            <w:rPr>
              <w:rStyle w:val="PageNumber"/>
              <w:noProof/>
            </w:rPr>
            <w:t>4</w:t>
          </w:r>
          <w:r w:rsidR="00C368C0">
            <w:rPr>
              <w:rStyle w:val="PageNumber"/>
            </w:rPr>
            <w:fldChar w:fldCharType="end"/>
          </w:r>
          <w:r w:rsidR="00C368C0">
            <w:rPr>
              <w:rStyle w:val="PageNumber"/>
            </w:rPr>
            <w:t>/</w:t>
          </w:r>
          <w:r w:rsidR="00C368C0">
            <w:rPr>
              <w:rStyle w:val="PageNumber"/>
            </w:rPr>
            <w:fldChar w:fldCharType="begin"/>
          </w:r>
          <w:r w:rsidR="00C368C0">
            <w:rPr>
              <w:rStyle w:val="PageNumber"/>
            </w:rPr>
            <w:instrText xml:space="preserve"> NUMPAGES  \* Arabic </w:instrText>
          </w:r>
          <w:r w:rsidR="00C368C0">
            <w:rPr>
              <w:rStyle w:val="PageNumber"/>
            </w:rPr>
            <w:fldChar w:fldCharType="separate"/>
          </w:r>
          <w:r w:rsidR="00E1487D">
            <w:rPr>
              <w:rStyle w:val="PageNumber"/>
              <w:noProof/>
            </w:rPr>
            <w:t>4</w:t>
          </w:r>
          <w:r w:rsidR="00C368C0">
            <w:rPr>
              <w:rStyle w:val="PageNumber"/>
            </w:rPr>
            <w:fldChar w:fldCharType="end"/>
          </w:r>
          <w:r w:rsidR="00C368C0">
            <w:rPr>
              <w:rStyle w:val="PageNumber"/>
            </w:rPr>
            <w:t xml:space="preserve"> </w:t>
          </w:r>
        </w:p>
      </w:tc>
    </w:tr>
  </w:tbl>
  <w:p w:rsidR="00C368C0" w:rsidRDefault="00C36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9B" w:rsidRDefault="0084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9B" w:rsidRDefault="00841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C0" w:rsidRDefault="00C368C0">
    <w:pPr>
      <w:pStyle w:val="Header"/>
    </w:pPr>
    <w:r>
      <w:rPr>
        <w:noProof/>
      </w:rPr>
      <w:drawing>
        <wp:anchor distT="0" distB="0" distL="114300" distR="114300" simplePos="0" relativeHeight="251667456" behindDoc="1" locked="0" layoutInCell="1" allowOverlap="1" wp14:anchorId="7CA99304" wp14:editId="1079F6C5">
          <wp:simplePos x="0" y="0"/>
          <wp:positionH relativeFrom="page">
            <wp:posOffset>0</wp:posOffset>
          </wp:positionH>
          <wp:positionV relativeFrom="page">
            <wp:posOffset>0</wp:posOffset>
          </wp:positionV>
          <wp:extent cx="7560000"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9B" w:rsidRDefault="00841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8" w15:restartNumberingAfterBreak="0">
    <w:nsid w:val="213824D8"/>
    <w:multiLevelType w:val="hybridMultilevel"/>
    <w:tmpl w:val="76CAC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1"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4" w15:restartNumberingAfterBreak="0">
    <w:nsid w:val="54766E19"/>
    <w:multiLevelType w:val="hybridMultilevel"/>
    <w:tmpl w:val="DBBC71E6"/>
    <w:lvl w:ilvl="0" w:tplc="230C015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D84FEB"/>
    <w:multiLevelType w:val="multilevel"/>
    <w:tmpl w:val="FAF41256"/>
    <w:numStyleLink w:val="BulletList"/>
  </w:abstractNum>
  <w:abstractNum w:abstractNumId="19"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147DCC"/>
    <w:multiLevelType w:val="hybridMultilevel"/>
    <w:tmpl w:val="726281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96379"/>
    <w:multiLevelType w:val="multilevel"/>
    <w:tmpl w:val="7938B468"/>
    <w:lvl w:ilvl="0">
      <w:start w:val="1"/>
      <w:numFmt w:val="lowerLetter"/>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769625F9"/>
    <w:multiLevelType w:val="hybridMultilevel"/>
    <w:tmpl w:val="726281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3"/>
  </w:num>
  <w:num w:numId="2">
    <w:abstractNumId w:val="5"/>
  </w:num>
  <w:num w:numId="3">
    <w:abstractNumId w:val="7"/>
  </w:num>
  <w:num w:numId="4">
    <w:abstractNumId w:val="7"/>
  </w:num>
  <w:num w:numId="5">
    <w:abstractNumId w:val="24"/>
  </w:num>
  <w:num w:numId="6">
    <w:abstractNumId w:val="5"/>
  </w:num>
  <w:num w:numId="7">
    <w:abstractNumId w:val="12"/>
  </w:num>
  <w:num w:numId="8">
    <w:abstractNumId w:val="17"/>
  </w:num>
  <w:num w:numId="9">
    <w:abstractNumId w:val="17"/>
  </w:num>
  <w:num w:numId="10">
    <w:abstractNumId w:val="9"/>
  </w:num>
  <w:num w:numId="11">
    <w:abstractNumId w:val="6"/>
  </w:num>
  <w:num w:numId="12">
    <w:abstractNumId w:val="4"/>
  </w:num>
  <w:num w:numId="13">
    <w:abstractNumId w:val="3"/>
  </w:num>
  <w:num w:numId="14">
    <w:abstractNumId w:val="2"/>
  </w:num>
  <w:num w:numId="15">
    <w:abstractNumId w:val="20"/>
  </w:num>
  <w:num w:numId="16">
    <w:abstractNumId w:val="11"/>
  </w:num>
  <w:num w:numId="17">
    <w:abstractNumId w:val="19"/>
  </w:num>
  <w:num w:numId="18">
    <w:abstractNumId w:val="11"/>
  </w:num>
  <w:num w:numId="19">
    <w:abstractNumId w:val="22"/>
  </w:num>
  <w:num w:numId="20">
    <w:abstractNumId w:val="1"/>
  </w:num>
  <w:num w:numId="21">
    <w:abstractNumId w:val="22"/>
  </w:num>
  <w:num w:numId="22">
    <w:abstractNumId w:val="0"/>
  </w:num>
  <w:num w:numId="23">
    <w:abstractNumId w:val="22"/>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8"/>
  </w:num>
  <w:num w:numId="31">
    <w:abstractNumId w:val="18"/>
  </w:num>
  <w:num w:numId="32">
    <w:abstractNumId w:val="18"/>
  </w:num>
  <w:num w:numId="33">
    <w:abstractNumId w:val="16"/>
  </w:num>
  <w:num w:numId="34">
    <w:abstractNumId w:val="15"/>
  </w:num>
  <w:num w:numId="35">
    <w:abstractNumId w:val="14"/>
  </w:num>
  <w:num w:numId="36">
    <w:abstractNumId w:val="8"/>
  </w:num>
  <w:num w:numId="37">
    <w:abstractNumId w:val="21"/>
  </w:num>
  <w:num w:numId="3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1424"/>
    <w:rsid w:val="0001288A"/>
    <w:rsid w:val="00013C8D"/>
    <w:rsid w:val="00016E09"/>
    <w:rsid w:val="00017E68"/>
    <w:rsid w:val="00021482"/>
    <w:rsid w:val="0002340A"/>
    <w:rsid w:val="000237A5"/>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D9C"/>
    <w:rsid w:val="00154475"/>
    <w:rsid w:val="00156B80"/>
    <w:rsid w:val="00157F85"/>
    <w:rsid w:val="00161F1F"/>
    <w:rsid w:val="00161FBA"/>
    <w:rsid w:val="00162206"/>
    <w:rsid w:val="001624BB"/>
    <w:rsid w:val="00164711"/>
    <w:rsid w:val="00166DF1"/>
    <w:rsid w:val="001722F4"/>
    <w:rsid w:val="00181DF2"/>
    <w:rsid w:val="0018211D"/>
    <w:rsid w:val="001823E9"/>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44D1"/>
    <w:rsid w:val="001F6E41"/>
    <w:rsid w:val="00201C52"/>
    <w:rsid w:val="00202091"/>
    <w:rsid w:val="00202379"/>
    <w:rsid w:val="002045C9"/>
    <w:rsid w:val="002076C6"/>
    <w:rsid w:val="0021162E"/>
    <w:rsid w:val="00211BA2"/>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5789D"/>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5395"/>
    <w:rsid w:val="00317FEB"/>
    <w:rsid w:val="00321393"/>
    <w:rsid w:val="00321A60"/>
    <w:rsid w:val="00322DE8"/>
    <w:rsid w:val="003251A2"/>
    <w:rsid w:val="00331E57"/>
    <w:rsid w:val="0033209A"/>
    <w:rsid w:val="0033211B"/>
    <w:rsid w:val="00340349"/>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A0ABE"/>
    <w:rsid w:val="003B0193"/>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4208"/>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6073A"/>
    <w:rsid w:val="00561F28"/>
    <w:rsid w:val="005625EC"/>
    <w:rsid w:val="0056325B"/>
    <w:rsid w:val="005717ED"/>
    <w:rsid w:val="005721DF"/>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7A6B"/>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283D"/>
    <w:rsid w:val="0060325D"/>
    <w:rsid w:val="00603398"/>
    <w:rsid w:val="006049BA"/>
    <w:rsid w:val="006056A1"/>
    <w:rsid w:val="006142FE"/>
    <w:rsid w:val="00617878"/>
    <w:rsid w:val="00620918"/>
    <w:rsid w:val="0062455C"/>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654FF"/>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D1E26"/>
    <w:rsid w:val="006D2281"/>
    <w:rsid w:val="006D3A06"/>
    <w:rsid w:val="006D3AC3"/>
    <w:rsid w:val="006D6BCF"/>
    <w:rsid w:val="006D7E70"/>
    <w:rsid w:val="006E0B43"/>
    <w:rsid w:val="006E406E"/>
    <w:rsid w:val="006E5B27"/>
    <w:rsid w:val="006E7DF7"/>
    <w:rsid w:val="006E7E64"/>
    <w:rsid w:val="006F1283"/>
    <w:rsid w:val="006F213F"/>
    <w:rsid w:val="006F2CF3"/>
    <w:rsid w:val="006F43F0"/>
    <w:rsid w:val="006F4846"/>
    <w:rsid w:val="006F4C02"/>
    <w:rsid w:val="006F69A1"/>
    <w:rsid w:val="007009D4"/>
    <w:rsid w:val="00704656"/>
    <w:rsid w:val="007100EB"/>
    <w:rsid w:val="00711A05"/>
    <w:rsid w:val="00711F83"/>
    <w:rsid w:val="00712B68"/>
    <w:rsid w:val="00716C11"/>
    <w:rsid w:val="007226FA"/>
    <w:rsid w:val="0072344E"/>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5652A"/>
    <w:rsid w:val="0076102C"/>
    <w:rsid w:val="007622C0"/>
    <w:rsid w:val="0076233A"/>
    <w:rsid w:val="00763242"/>
    <w:rsid w:val="00766884"/>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7384"/>
    <w:rsid w:val="007D3FF4"/>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362"/>
    <w:rsid w:val="00836E8E"/>
    <w:rsid w:val="008377CD"/>
    <w:rsid w:val="00840379"/>
    <w:rsid w:val="00840C4A"/>
    <w:rsid w:val="0084189B"/>
    <w:rsid w:val="0084208B"/>
    <w:rsid w:val="00855770"/>
    <w:rsid w:val="008609DC"/>
    <w:rsid w:val="00866941"/>
    <w:rsid w:val="00871812"/>
    <w:rsid w:val="0087255C"/>
    <w:rsid w:val="00874139"/>
    <w:rsid w:val="00877F7F"/>
    <w:rsid w:val="00880CE1"/>
    <w:rsid w:val="00881068"/>
    <w:rsid w:val="00881F50"/>
    <w:rsid w:val="0088274A"/>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0C1A"/>
    <w:rsid w:val="00981D93"/>
    <w:rsid w:val="00983B53"/>
    <w:rsid w:val="00985C83"/>
    <w:rsid w:val="0098639C"/>
    <w:rsid w:val="00990DA5"/>
    <w:rsid w:val="00993850"/>
    <w:rsid w:val="00993D4E"/>
    <w:rsid w:val="009A05C5"/>
    <w:rsid w:val="009A2099"/>
    <w:rsid w:val="009A619C"/>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5850"/>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2552"/>
    <w:rsid w:val="00B139C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4912"/>
    <w:rsid w:val="00B655FE"/>
    <w:rsid w:val="00B65BD0"/>
    <w:rsid w:val="00B66AF5"/>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0BC"/>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8C0"/>
    <w:rsid w:val="00C36AE0"/>
    <w:rsid w:val="00C403B2"/>
    <w:rsid w:val="00C415C5"/>
    <w:rsid w:val="00C41C9A"/>
    <w:rsid w:val="00C42D69"/>
    <w:rsid w:val="00C437E1"/>
    <w:rsid w:val="00C448C4"/>
    <w:rsid w:val="00C51E7D"/>
    <w:rsid w:val="00C62C5E"/>
    <w:rsid w:val="00C63174"/>
    <w:rsid w:val="00C734EB"/>
    <w:rsid w:val="00C7589D"/>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AB4"/>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4503"/>
    <w:rsid w:val="00D16FD3"/>
    <w:rsid w:val="00D21C4B"/>
    <w:rsid w:val="00D25A9E"/>
    <w:rsid w:val="00D27940"/>
    <w:rsid w:val="00D32F00"/>
    <w:rsid w:val="00D33810"/>
    <w:rsid w:val="00D33F9D"/>
    <w:rsid w:val="00D36FA6"/>
    <w:rsid w:val="00D42043"/>
    <w:rsid w:val="00D440B0"/>
    <w:rsid w:val="00D45E5A"/>
    <w:rsid w:val="00D468C0"/>
    <w:rsid w:val="00D51ED0"/>
    <w:rsid w:val="00D57FBE"/>
    <w:rsid w:val="00D615EA"/>
    <w:rsid w:val="00D61CB7"/>
    <w:rsid w:val="00D6224F"/>
    <w:rsid w:val="00D6404E"/>
    <w:rsid w:val="00D640A6"/>
    <w:rsid w:val="00D65DF4"/>
    <w:rsid w:val="00D65F24"/>
    <w:rsid w:val="00D6618C"/>
    <w:rsid w:val="00D665CC"/>
    <w:rsid w:val="00D70540"/>
    <w:rsid w:val="00D70E99"/>
    <w:rsid w:val="00D74574"/>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487D"/>
    <w:rsid w:val="00E15916"/>
    <w:rsid w:val="00E16503"/>
    <w:rsid w:val="00E17CF7"/>
    <w:rsid w:val="00E261B6"/>
    <w:rsid w:val="00E261F7"/>
    <w:rsid w:val="00E27B58"/>
    <w:rsid w:val="00E30E90"/>
    <w:rsid w:val="00E33790"/>
    <w:rsid w:val="00E34387"/>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865E4"/>
    <w:rsid w:val="00E9100A"/>
    <w:rsid w:val="00E92341"/>
    <w:rsid w:val="00EA0E3E"/>
    <w:rsid w:val="00EA1AEC"/>
    <w:rsid w:val="00EA3305"/>
    <w:rsid w:val="00EA3BEE"/>
    <w:rsid w:val="00EA42A5"/>
    <w:rsid w:val="00EA492D"/>
    <w:rsid w:val="00EA4996"/>
    <w:rsid w:val="00EA5A0B"/>
    <w:rsid w:val="00EA6384"/>
    <w:rsid w:val="00EB0E2D"/>
    <w:rsid w:val="00EB2316"/>
    <w:rsid w:val="00EB408E"/>
    <w:rsid w:val="00EB4493"/>
    <w:rsid w:val="00EC0211"/>
    <w:rsid w:val="00EC19A9"/>
    <w:rsid w:val="00EC350C"/>
    <w:rsid w:val="00ED071E"/>
    <w:rsid w:val="00ED150C"/>
    <w:rsid w:val="00ED3170"/>
    <w:rsid w:val="00ED4E11"/>
    <w:rsid w:val="00EE1385"/>
    <w:rsid w:val="00EE1795"/>
    <w:rsid w:val="00EE45EB"/>
    <w:rsid w:val="00EE5B61"/>
    <w:rsid w:val="00EF5D5A"/>
    <w:rsid w:val="00EF6A4B"/>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90804"/>
    <w:rsid w:val="00F94FCA"/>
    <w:rsid w:val="00FA01CE"/>
    <w:rsid w:val="00FA0DE0"/>
    <w:rsid w:val="00FA31F7"/>
    <w:rsid w:val="00FA57A0"/>
    <w:rsid w:val="00FB109C"/>
    <w:rsid w:val="00FB3397"/>
    <w:rsid w:val="00FB44E9"/>
    <w:rsid w:val="00FB4BE6"/>
    <w:rsid w:val="00FC4ABE"/>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5D914B"/>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39"/>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9"/>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19"/>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19"/>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9B2F4B"/>
    <w:pPr>
      <w:numPr>
        <w:ilvl w:val="2"/>
        <w:numId w:val="19"/>
      </w:numPr>
      <w:adjustRightInd/>
      <w:snapToGrid/>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Strong">
    <w:name w:val="Strong"/>
    <w:basedOn w:val="DefaultParagraphFont"/>
    <w:uiPriority w:val="22"/>
    <w:qFormat/>
    <w:rsid w:val="00340349"/>
    <w:rPr>
      <w:b/>
      <w:bCs/>
    </w:rPr>
  </w:style>
  <w:style w:type="character" w:styleId="IntenseEmphasis">
    <w:name w:val="Intense Emphasis"/>
    <w:basedOn w:val="DefaultParagraphFont"/>
    <w:uiPriority w:val="21"/>
    <w:qFormat/>
    <w:rsid w:val="0075652A"/>
    <w:rPr>
      <w:i/>
      <w:iCs/>
      <w:color w:val="0C3B6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92819240">
      <w:bodyDiv w:val="1"/>
      <w:marLeft w:val="0"/>
      <w:marRight w:val="0"/>
      <w:marTop w:val="0"/>
      <w:marBottom w:val="0"/>
      <w:divBdr>
        <w:top w:val="none" w:sz="0" w:space="0" w:color="auto"/>
        <w:left w:val="none" w:sz="0" w:space="0" w:color="auto"/>
        <w:bottom w:val="none" w:sz="0" w:space="0" w:color="auto"/>
        <w:right w:val="none" w:sz="0" w:space="0" w:color="auto"/>
      </w:divBdr>
    </w:div>
    <w:div w:id="115025710">
      <w:bodyDiv w:val="1"/>
      <w:marLeft w:val="0"/>
      <w:marRight w:val="0"/>
      <w:marTop w:val="0"/>
      <w:marBottom w:val="0"/>
      <w:divBdr>
        <w:top w:val="none" w:sz="0" w:space="0" w:color="auto"/>
        <w:left w:val="none" w:sz="0" w:space="0" w:color="auto"/>
        <w:bottom w:val="none" w:sz="0" w:space="0" w:color="auto"/>
        <w:right w:val="none" w:sz="0" w:space="0" w:color="auto"/>
      </w:divBdr>
    </w:div>
    <w:div w:id="160891913">
      <w:bodyDiv w:val="1"/>
      <w:marLeft w:val="0"/>
      <w:marRight w:val="0"/>
      <w:marTop w:val="0"/>
      <w:marBottom w:val="0"/>
      <w:divBdr>
        <w:top w:val="none" w:sz="0" w:space="0" w:color="auto"/>
        <w:left w:val="none" w:sz="0" w:space="0" w:color="auto"/>
        <w:bottom w:val="none" w:sz="0" w:space="0" w:color="auto"/>
        <w:right w:val="none" w:sz="0" w:space="0" w:color="auto"/>
      </w:divBdr>
    </w:div>
    <w:div w:id="25509410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567695554">
      <w:bodyDiv w:val="1"/>
      <w:marLeft w:val="0"/>
      <w:marRight w:val="0"/>
      <w:marTop w:val="0"/>
      <w:marBottom w:val="0"/>
      <w:divBdr>
        <w:top w:val="none" w:sz="0" w:space="0" w:color="auto"/>
        <w:left w:val="none" w:sz="0" w:space="0" w:color="auto"/>
        <w:bottom w:val="none" w:sz="0" w:space="0" w:color="auto"/>
        <w:right w:val="none" w:sz="0" w:space="0" w:color="auto"/>
      </w:divBdr>
    </w:div>
    <w:div w:id="644359965">
      <w:bodyDiv w:val="1"/>
      <w:marLeft w:val="0"/>
      <w:marRight w:val="0"/>
      <w:marTop w:val="0"/>
      <w:marBottom w:val="0"/>
      <w:divBdr>
        <w:top w:val="none" w:sz="0" w:space="0" w:color="auto"/>
        <w:left w:val="none" w:sz="0" w:space="0" w:color="auto"/>
        <w:bottom w:val="none" w:sz="0" w:space="0" w:color="auto"/>
        <w:right w:val="none" w:sz="0" w:space="0" w:color="auto"/>
      </w:divBdr>
    </w:div>
    <w:div w:id="758134231">
      <w:bodyDiv w:val="1"/>
      <w:marLeft w:val="0"/>
      <w:marRight w:val="0"/>
      <w:marTop w:val="0"/>
      <w:marBottom w:val="0"/>
      <w:divBdr>
        <w:top w:val="none" w:sz="0" w:space="0" w:color="auto"/>
        <w:left w:val="none" w:sz="0" w:space="0" w:color="auto"/>
        <w:bottom w:val="none" w:sz="0" w:space="0" w:color="auto"/>
        <w:right w:val="none" w:sz="0" w:space="0" w:color="auto"/>
      </w:divBdr>
    </w:div>
    <w:div w:id="761604717">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905456307">
      <w:bodyDiv w:val="1"/>
      <w:marLeft w:val="0"/>
      <w:marRight w:val="0"/>
      <w:marTop w:val="0"/>
      <w:marBottom w:val="0"/>
      <w:divBdr>
        <w:top w:val="none" w:sz="0" w:space="0" w:color="auto"/>
        <w:left w:val="none" w:sz="0" w:space="0" w:color="auto"/>
        <w:bottom w:val="none" w:sz="0" w:space="0" w:color="auto"/>
        <w:right w:val="none" w:sz="0" w:space="0" w:color="auto"/>
      </w:divBdr>
    </w:div>
    <w:div w:id="1076323233">
      <w:bodyDiv w:val="1"/>
      <w:marLeft w:val="0"/>
      <w:marRight w:val="0"/>
      <w:marTop w:val="0"/>
      <w:marBottom w:val="0"/>
      <w:divBdr>
        <w:top w:val="none" w:sz="0" w:space="0" w:color="auto"/>
        <w:left w:val="none" w:sz="0" w:space="0" w:color="auto"/>
        <w:bottom w:val="none" w:sz="0" w:space="0" w:color="auto"/>
        <w:right w:val="none" w:sz="0" w:space="0" w:color="auto"/>
      </w:divBdr>
    </w:div>
    <w:div w:id="1190994239">
      <w:bodyDiv w:val="1"/>
      <w:marLeft w:val="0"/>
      <w:marRight w:val="0"/>
      <w:marTop w:val="0"/>
      <w:marBottom w:val="0"/>
      <w:divBdr>
        <w:top w:val="none" w:sz="0" w:space="0" w:color="auto"/>
        <w:left w:val="none" w:sz="0" w:space="0" w:color="auto"/>
        <w:bottom w:val="none" w:sz="0" w:space="0" w:color="auto"/>
        <w:right w:val="none" w:sz="0" w:space="0" w:color="auto"/>
      </w:divBdr>
    </w:div>
    <w:div w:id="1338078128">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713915727">
      <w:bodyDiv w:val="1"/>
      <w:marLeft w:val="0"/>
      <w:marRight w:val="0"/>
      <w:marTop w:val="0"/>
      <w:marBottom w:val="0"/>
      <w:divBdr>
        <w:top w:val="none" w:sz="0" w:space="0" w:color="auto"/>
        <w:left w:val="none" w:sz="0" w:space="0" w:color="auto"/>
        <w:bottom w:val="none" w:sz="0" w:space="0" w:color="auto"/>
        <w:right w:val="none" w:sz="0" w:space="0" w:color="auto"/>
      </w:divBdr>
    </w:div>
    <w:div w:id="1780027747">
      <w:bodyDiv w:val="1"/>
      <w:marLeft w:val="0"/>
      <w:marRight w:val="0"/>
      <w:marTop w:val="0"/>
      <w:marBottom w:val="0"/>
      <w:divBdr>
        <w:top w:val="none" w:sz="0" w:space="0" w:color="auto"/>
        <w:left w:val="none" w:sz="0" w:space="0" w:color="auto"/>
        <w:bottom w:val="none" w:sz="0" w:space="0" w:color="auto"/>
        <w:right w:val="none" w:sz="0" w:space="0" w:color="auto"/>
      </w:divBdr>
    </w:div>
    <w:div w:id="21161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btrade.com.au/research-and-insigh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f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asx.com.au/investors/start-investing/find-a-broker-advis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8F8E150-E94F-4790-83C9-BF0938F8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9</TotalTime>
  <Pages>4</Pages>
  <Words>1250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7</cp:revision>
  <cp:lastPrinted>2017-08-21T04:49:00Z</cp:lastPrinted>
  <dcterms:created xsi:type="dcterms:W3CDTF">2023-02-03T06:29:00Z</dcterms:created>
  <dcterms:modified xsi:type="dcterms:W3CDTF">2023-02-13T01:35:00Z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